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55" w:rsidRPr="007544A7" w:rsidRDefault="00066355" w:rsidP="00F660E3">
      <w:pPr>
        <w:pStyle w:val="Heading1"/>
        <w:spacing w:after="240" w:line="360" w:lineRule="auto"/>
        <w:jc w:val="center"/>
        <w:rPr>
          <w:rFonts w:ascii="Bookman Old Style" w:hAnsi="Bookman Old Style"/>
          <w:b/>
          <w:color w:val="auto"/>
          <w:sz w:val="28"/>
          <w:szCs w:val="28"/>
          <w:lang w:val="en-US"/>
        </w:rPr>
      </w:pPr>
      <w:r w:rsidRPr="007544A7">
        <w:rPr>
          <w:rFonts w:ascii="Bookman Old Style" w:hAnsi="Bookman Old Style"/>
          <w:b/>
          <w:color w:val="auto"/>
          <w:sz w:val="28"/>
          <w:szCs w:val="28"/>
          <w:lang w:val="en-US"/>
        </w:rPr>
        <w:t>Management of Diabetes Mellitus</w:t>
      </w:r>
    </w:p>
    <w:p w:rsidR="00066355" w:rsidRPr="007544A7" w:rsidRDefault="00A26CAC" w:rsidP="00F660E3">
      <w:pPr>
        <w:pStyle w:val="Heading2"/>
        <w:spacing w:line="360" w:lineRule="auto"/>
        <w:jc w:val="both"/>
        <w:rPr>
          <w:rFonts w:ascii="Bookman Old Style" w:hAnsi="Bookman Old Style"/>
          <w:b/>
          <w:color w:val="auto"/>
          <w:lang w:val="en-US"/>
        </w:rPr>
      </w:pPr>
      <w:r w:rsidRPr="007544A7">
        <w:rPr>
          <w:rFonts w:ascii="Bookman Old Style" w:hAnsi="Bookman Old Style"/>
          <w:b/>
          <w:color w:val="auto"/>
          <w:lang w:val="en-US"/>
        </w:rPr>
        <w:t xml:space="preserve">Overview </w:t>
      </w:r>
    </w:p>
    <w:p w:rsidR="001B1AFE" w:rsidRPr="007544A7" w:rsidRDefault="001B1AFE" w:rsidP="00F660E3">
      <w:p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Why Choose Our Diabetes Management Course?</w:t>
      </w:r>
    </w:p>
    <w:p w:rsidR="001B1AFE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Comprehensive Curriculum: Our course offers a thorough understanding of diabetes management, covering everything from pathophysiology to treatment strategies for complications.</w:t>
      </w:r>
    </w:p>
    <w:p w:rsidR="001B1AFE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Expert Guidance: Learn from experienced healthcare professionals who provide valuable insights and practical tips based on real-world experience.</w:t>
      </w:r>
    </w:p>
    <w:p w:rsidR="001B1AFE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Practical Skills: Gain hands-on experience through interactive sessions, case studies, and simulation exercises, equipping you with the skills needed to excel in diabetes care.</w:t>
      </w:r>
    </w:p>
    <w:p w:rsidR="001B1AFE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Cutting-Edge Knowledge: Stay updated with the latest advancements in diabetes research, treatment modalities, and best practices to deliver optimal patient care.</w:t>
      </w:r>
    </w:p>
    <w:p w:rsidR="001B1AFE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Accredited CPD Training: Earn Continuing Professional Development (CPD) credits while enhancing your expertise in diabetes management, adding value to your professional portfolio.</w:t>
      </w:r>
    </w:p>
    <w:p w:rsidR="001B1AFE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Flexible Learning: Access course materials online, allowing you to learn at your own pace and fit studying around your busy schedule.</w:t>
      </w:r>
    </w:p>
    <w:p w:rsidR="001B1AFE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Career Advancement: Enhance your career prospects and job opportunities by acquiring specialized knowledge and skills in diabetes management, a growing field in healthcare.</w:t>
      </w:r>
    </w:p>
    <w:p w:rsidR="00A26CAC" w:rsidRPr="007544A7" w:rsidRDefault="001B1AFE" w:rsidP="00F660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7544A7">
        <w:rPr>
          <w:rFonts w:ascii="Bookman Old Style" w:hAnsi="Bookman Old Style"/>
          <w:lang w:val="en-US"/>
        </w:rPr>
        <w:t>Make a Difference: By mastering the art of diabetes care, you'll be better equipped to make a positive impact on the lives of patients living with diabetes, improving their health outcomes and quality of life.</w:t>
      </w:r>
    </w:p>
    <w:p w:rsidR="00A26CAC" w:rsidRPr="007544A7" w:rsidRDefault="00A26CAC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7544A7">
        <w:rPr>
          <w:rFonts w:ascii="Bookman Old Style" w:hAnsi="Bookman Old Style"/>
          <w:b/>
          <w:color w:val="auto"/>
        </w:rPr>
        <w:t>Key Highlights</w:t>
      </w:r>
    </w:p>
    <w:p w:rsidR="00976887" w:rsidRPr="00976887" w:rsidRDefault="00976887" w:rsidP="009768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 w:cs="Segoe UI"/>
          <w:color w:val="3C3C3C"/>
        </w:rPr>
      </w:pPr>
      <w:r w:rsidRPr="00976887">
        <w:rPr>
          <w:rFonts w:ascii="Bookman Old Style" w:hAnsi="Bookman Old Style" w:cs="Segoe UI"/>
          <w:b/>
          <w:color w:val="3C3C3C"/>
        </w:rPr>
        <w:t>Demonstrated Expertise in Diabetic Care and Patient Education</w:t>
      </w:r>
      <w:r w:rsidRPr="00976887">
        <w:rPr>
          <w:rFonts w:ascii="Bookman Old Style" w:hAnsi="Bookman Old Style" w:cs="Segoe UI"/>
          <w:color w:val="3C3C3C"/>
        </w:rPr>
        <w:t>: Acquire comprehensive capabilities and knowledge essential for delivering high-quality care to patients with diabetes. Learn effective strategies for patient education, empowering individuals to manage their condition effectively.</w:t>
      </w:r>
    </w:p>
    <w:p w:rsidR="00976887" w:rsidRPr="00976887" w:rsidRDefault="00976887" w:rsidP="009768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 w:cs="Segoe UI"/>
          <w:color w:val="3C3C3C"/>
        </w:rPr>
      </w:pPr>
      <w:r w:rsidRPr="00976887">
        <w:rPr>
          <w:rFonts w:ascii="Bookman Old Style" w:hAnsi="Bookman Old Style" w:cs="Segoe UI"/>
          <w:b/>
          <w:color w:val="3C3C3C"/>
        </w:rPr>
        <w:t>12 Hours of Intensive Live Virtual Training:</w:t>
      </w:r>
      <w:r w:rsidRPr="00976887">
        <w:rPr>
          <w:rFonts w:ascii="Bookman Old Style" w:hAnsi="Bookman Old Style" w:cs="Segoe UI"/>
          <w:color w:val="3C3C3C"/>
        </w:rPr>
        <w:t xml:space="preserve"> Engage in immersive learning experiences through 12 hours of live virtual training sessions led by expert </w:t>
      </w:r>
      <w:r w:rsidRPr="00976887">
        <w:rPr>
          <w:rFonts w:ascii="Bookman Old Style" w:hAnsi="Bookman Old Style" w:cs="Segoe UI"/>
          <w:color w:val="3C3C3C"/>
        </w:rPr>
        <w:lastRenderedPageBreak/>
        <w:t>trainers. Benefit from real-time interaction, discussions, and demonstrations to deepen your understanding of diabetes management.</w:t>
      </w:r>
    </w:p>
    <w:p w:rsidR="00976887" w:rsidRPr="00976887" w:rsidRDefault="00976887" w:rsidP="009768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 w:cs="Segoe UI"/>
          <w:color w:val="3C3C3C"/>
        </w:rPr>
      </w:pPr>
      <w:r w:rsidRPr="00976887">
        <w:rPr>
          <w:rFonts w:ascii="Bookman Old Style" w:hAnsi="Bookman Old Style" w:cs="Segoe UI"/>
          <w:b/>
          <w:color w:val="3C3C3C"/>
        </w:rPr>
        <w:t>12 Hours of Guided Self-Paced Learning</w:t>
      </w:r>
      <w:r w:rsidRPr="00976887">
        <w:rPr>
          <w:rFonts w:ascii="Bookman Old Style" w:hAnsi="Bookman Old Style" w:cs="Segoe UI"/>
          <w:color w:val="3C3C3C"/>
        </w:rPr>
        <w:t>: Reinforce your learning and further explore key concepts through 12 hours of guided self-paced learning. Access curated resources, assignments, and supplementary materials to enhance your knowledge at your own convenience.</w:t>
      </w:r>
    </w:p>
    <w:p w:rsidR="00976887" w:rsidRPr="00976887" w:rsidRDefault="00976887" w:rsidP="009768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 w:cs="Segoe UI"/>
          <w:color w:val="3C3C3C"/>
        </w:rPr>
      </w:pPr>
      <w:r w:rsidRPr="00976887">
        <w:rPr>
          <w:rFonts w:ascii="Bookman Old Style" w:hAnsi="Bookman Old Style" w:cs="Segoe UI"/>
          <w:b/>
          <w:color w:val="3C3C3C"/>
        </w:rPr>
        <w:t>Accredited Certification:</w:t>
      </w:r>
      <w:r w:rsidRPr="00976887">
        <w:rPr>
          <w:rFonts w:ascii="Bookman Old Style" w:hAnsi="Bookman Old Style" w:cs="Segoe UI"/>
          <w:color w:val="3C3C3C"/>
        </w:rPr>
        <w:t xml:space="preserve"> Upon successful completion of the training program, earn an accredited certification recognized by professional bodies. Validate your expertise in diabetic care and enhance your credentials in the healthcare field.</w:t>
      </w:r>
    </w:p>
    <w:p w:rsidR="00A26CAC" w:rsidRPr="007E399C" w:rsidRDefault="00976887" w:rsidP="009768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lang w:val="en-US"/>
        </w:rPr>
      </w:pPr>
      <w:r w:rsidRPr="00976887">
        <w:rPr>
          <w:rFonts w:ascii="Bookman Old Style" w:hAnsi="Bookman Old Style" w:cs="Segoe UI"/>
          <w:b/>
          <w:color w:val="3C3C3C"/>
        </w:rPr>
        <w:t>Immersive Learning Experience</w:t>
      </w:r>
      <w:r w:rsidRPr="00976887">
        <w:rPr>
          <w:rFonts w:ascii="Bookman Old Style" w:hAnsi="Bookman Old Style" w:cs="Segoe UI"/>
          <w:color w:val="3C3C3C"/>
        </w:rPr>
        <w:t>: Experience dynamic and interactive learning through live Q&amp;A sessions, hands-on activities, and real-world case studies. Apply theoretical knowledge to practical scenarios, fostering deeper comprehension and skill development.</w:t>
      </w:r>
    </w:p>
    <w:p w:rsidR="007E399C" w:rsidRPr="007E399C" w:rsidRDefault="007E399C" w:rsidP="007E399C">
      <w:pPr>
        <w:pStyle w:val="Heading2"/>
        <w:spacing w:line="360" w:lineRule="auto"/>
        <w:jc w:val="both"/>
        <w:rPr>
          <w:rFonts w:ascii="Bookman Old Style" w:hAnsi="Bookman Old Style"/>
          <w:b/>
          <w:color w:val="auto"/>
          <w:lang w:val="en-US"/>
        </w:rPr>
      </w:pPr>
      <w:r w:rsidRPr="007E399C">
        <w:rPr>
          <w:rFonts w:ascii="Bookman Old Style" w:hAnsi="Bookman Old Style"/>
          <w:b/>
          <w:color w:val="auto"/>
          <w:lang w:val="en-US"/>
        </w:rPr>
        <w:t>Target Audience</w:t>
      </w:r>
    </w:p>
    <w:p w:rsidR="007E399C" w:rsidRPr="00CE2041" w:rsidRDefault="007E399C" w:rsidP="007E399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This course is designed for healthcare professionals, including doctors, nurses, pharmacists, dietitians, and other allied health professionals, who are involved in the care of patients with diabetes.</w:t>
      </w:r>
    </w:p>
    <w:p w:rsidR="00A26CAC" w:rsidRPr="007544A7" w:rsidRDefault="00A26CAC" w:rsidP="00F660E3">
      <w:pPr>
        <w:pStyle w:val="Heading2"/>
        <w:spacing w:line="360" w:lineRule="auto"/>
        <w:jc w:val="both"/>
        <w:rPr>
          <w:rFonts w:ascii="Bookman Old Style" w:hAnsi="Bookman Old Style"/>
          <w:b/>
          <w:color w:val="auto"/>
          <w:lang w:val="en-US"/>
        </w:rPr>
      </w:pPr>
      <w:r w:rsidRPr="007544A7">
        <w:rPr>
          <w:rFonts w:ascii="Bookman Old Style" w:hAnsi="Bookman Old Style"/>
          <w:b/>
          <w:color w:val="auto"/>
          <w:lang w:val="en-US"/>
        </w:rPr>
        <w:t>Training Modality</w:t>
      </w:r>
    </w:p>
    <w:p w:rsidR="00D31BB6" w:rsidRDefault="00D31BB6" w:rsidP="00F660E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30 hrs. course work</w:t>
      </w:r>
    </w:p>
    <w:p w:rsidR="00A26CAC" w:rsidRPr="007544A7" w:rsidRDefault="00A26CAC" w:rsidP="00F660E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Bookman Old Style" w:hAnsi="Bookman Old Style" w:cs="Segoe UI"/>
        </w:rPr>
      </w:pPr>
      <w:r w:rsidRPr="007544A7">
        <w:rPr>
          <w:rFonts w:ascii="Bookman Old Style" w:hAnsi="Bookman Old Style" w:cs="Segoe UI"/>
        </w:rPr>
        <w:t>12 hrs of synchronous or live, online training by top instructors and practitioners</w:t>
      </w:r>
      <w:r w:rsidR="00D31BB6">
        <w:rPr>
          <w:rFonts w:ascii="Bookman Old Style" w:hAnsi="Bookman Old Style" w:cs="Segoe UI"/>
        </w:rPr>
        <w:t xml:space="preserve"> followed by</w:t>
      </w:r>
    </w:p>
    <w:p w:rsidR="00A26CAC" w:rsidRDefault="00D31BB6" w:rsidP="00F660E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12</w:t>
      </w:r>
      <w:r w:rsidR="00A26CAC" w:rsidRPr="007544A7">
        <w:rPr>
          <w:rFonts w:ascii="Bookman Old Style" w:hAnsi="Bookman Old Style" w:cs="Segoe UI"/>
        </w:rPr>
        <w:t xml:space="preserve"> hrs of online guided self-paced learning</w:t>
      </w:r>
    </w:p>
    <w:p w:rsidR="00D31BB6" w:rsidRDefault="00512535" w:rsidP="00F660E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P</w:t>
      </w:r>
      <w:r w:rsidR="00D31BB6">
        <w:rPr>
          <w:rFonts w:ascii="Bookman Old Style" w:hAnsi="Bookman Old Style" w:cs="Segoe UI"/>
        </w:rPr>
        <w:t>re/</w:t>
      </w:r>
      <w:proofErr w:type="spellStart"/>
      <w:r w:rsidR="00D31BB6">
        <w:rPr>
          <w:rFonts w:ascii="Bookman Old Style" w:hAnsi="Bookman Old Style" w:cs="Segoe UI"/>
        </w:rPr>
        <w:t>post test</w:t>
      </w:r>
      <w:proofErr w:type="spellEnd"/>
      <w:r>
        <w:rPr>
          <w:rFonts w:ascii="Bookman Old Style" w:hAnsi="Bookman Old Style" w:cs="Segoe UI"/>
        </w:rPr>
        <w:t xml:space="preserve"> (1 hr each)</w:t>
      </w:r>
    </w:p>
    <w:p w:rsidR="00D31BB6" w:rsidRPr="007544A7" w:rsidRDefault="00D31BB6" w:rsidP="00F660E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written case study assignment </w:t>
      </w:r>
      <w:r w:rsidR="00512535">
        <w:rPr>
          <w:rFonts w:ascii="Bookman Old Style" w:hAnsi="Bookman Old Style" w:cs="Segoe UI"/>
        </w:rPr>
        <w:t>(4 hours)</w:t>
      </w:r>
    </w:p>
    <w:p w:rsidR="00A26CAC" w:rsidRPr="007544A7" w:rsidRDefault="00A26CAC" w:rsidP="00F660E3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Bookman Old Style" w:hAnsi="Bookman Old Style" w:cs="Segoe UI"/>
        </w:rPr>
      </w:pPr>
      <w:r w:rsidRPr="007544A7">
        <w:rPr>
          <w:rFonts w:ascii="Bookman Old Style" w:hAnsi="Bookman Old Style" w:cs="Segoe UI"/>
        </w:rPr>
        <w:t>24×7 learner assistance and support</w:t>
      </w:r>
    </w:p>
    <w:p w:rsidR="00A26CAC" w:rsidRPr="007544A7" w:rsidRDefault="00A26CAC" w:rsidP="00F660E3">
      <w:pPr>
        <w:shd w:val="clear" w:color="auto" w:fill="FFFFFF"/>
        <w:spacing w:line="360" w:lineRule="auto"/>
        <w:jc w:val="both"/>
        <w:rPr>
          <w:rFonts w:ascii="Bookman Old Style" w:hAnsi="Bookman Old Style" w:cs="Segoe UI"/>
          <w:b/>
          <w:color w:val="333333"/>
        </w:rPr>
      </w:pPr>
      <w:r w:rsidRPr="007544A7">
        <w:rPr>
          <w:rStyle w:val="elementor-button-text"/>
          <w:rFonts w:ascii="Bookman Old Style" w:hAnsi="Bookman Old Style" w:cs="Segoe UI"/>
          <w:b/>
          <w:color w:val="333333"/>
          <w:highlight w:val="green"/>
        </w:rPr>
        <w:t>ENROLL NOW</w:t>
      </w:r>
    </w:p>
    <w:p w:rsidR="00A26CAC" w:rsidRPr="007544A7" w:rsidRDefault="00A26CAC" w:rsidP="00F660E3">
      <w:pPr>
        <w:pStyle w:val="Heading2"/>
        <w:spacing w:line="360" w:lineRule="auto"/>
        <w:jc w:val="both"/>
        <w:rPr>
          <w:rFonts w:ascii="Bookman Old Style" w:hAnsi="Bookman Old Style"/>
          <w:b/>
          <w:color w:val="auto"/>
          <w:lang w:val="en-US"/>
        </w:rPr>
      </w:pPr>
      <w:r w:rsidRPr="007544A7">
        <w:rPr>
          <w:rFonts w:ascii="Bookman Old Style" w:hAnsi="Bookman Old Style"/>
          <w:b/>
          <w:color w:val="auto"/>
          <w:lang w:val="en-US"/>
        </w:rPr>
        <w:t>Pre-requisite</w:t>
      </w:r>
    </w:p>
    <w:p w:rsidR="00C21D9D" w:rsidRPr="007544A7" w:rsidRDefault="00D116C1" w:rsidP="00F660E3">
      <w:p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</w:rPr>
        <w:t xml:space="preserve">There are no prerequisites for </w:t>
      </w:r>
      <w:r w:rsidR="00C21D9D" w:rsidRPr="007544A7">
        <w:rPr>
          <w:rFonts w:ascii="Bookman Old Style" w:hAnsi="Bookman Old Style"/>
        </w:rPr>
        <w:t xml:space="preserve">pharmacists, pharmaceutical technologists, </w:t>
      </w:r>
      <w:r w:rsidRPr="007544A7">
        <w:rPr>
          <w:rFonts w:ascii="Bookman Old Style" w:hAnsi="Bookman Old Style"/>
        </w:rPr>
        <w:t>dietitians, physicians, physician assistants,</w:t>
      </w:r>
      <w:r w:rsidR="00C21D9D" w:rsidRPr="007544A7">
        <w:rPr>
          <w:rFonts w:ascii="Bookman Old Style" w:hAnsi="Bookman Old Style"/>
        </w:rPr>
        <w:t xml:space="preserve"> clinical officers,</w:t>
      </w:r>
      <w:r w:rsidRPr="007544A7">
        <w:rPr>
          <w:rFonts w:ascii="Bookman Old Style" w:hAnsi="Bookman Old Style"/>
        </w:rPr>
        <w:t xml:space="preserve"> nurse practitioners, nurses, </w:t>
      </w:r>
      <w:r w:rsidR="00C21D9D" w:rsidRPr="007544A7">
        <w:rPr>
          <w:rFonts w:ascii="Bookman Old Style" w:hAnsi="Bookman Old Style"/>
        </w:rPr>
        <w:t xml:space="preserve">medical and health science students </w:t>
      </w:r>
      <w:r w:rsidRPr="007544A7">
        <w:rPr>
          <w:rFonts w:ascii="Bookman Old Style" w:hAnsi="Bookman Old Style"/>
        </w:rPr>
        <w:t xml:space="preserve">needed prior to participating in this education activity. </w:t>
      </w:r>
    </w:p>
    <w:p w:rsidR="007544A7" w:rsidRDefault="00CE2041" w:rsidP="00F660E3">
      <w:pPr>
        <w:spacing w:after="0" w:line="360" w:lineRule="auto"/>
        <w:jc w:val="both"/>
        <w:textAlignment w:val="baseline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ICT </w:t>
      </w:r>
      <w:proofErr w:type="spellStart"/>
      <w:r>
        <w:rPr>
          <w:rFonts w:ascii="Bookman Old Style" w:hAnsi="Bookman Old Style" w:cs="Segoe UI"/>
        </w:rPr>
        <w:t>requirment</w:t>
      </w:r>
      <w:proofErr w:type="spellEnd"/>
      <w:r w:rsidR="00C21D9D" w:rsidRPr="007544A7">
        <w:rPr>
          <w:rFonts w:ascii="Bookman Old Style" w:hAnsi="Bookman Old Style" w:cs="Segoe UI"/>
        </w:rPr>
        <w:t>:</w:t>
      </w:r>
    </w:p>
    <w:p w:rsidR="007544A7" w:rsidRDefault="00C21D9D" w:rsidP="00F660E3">
      <w:pPr>
        <w:pStyle w:val="ListParagraph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Bookman Old Style" w:hAnsi="Bookman Old Style"/>
        </w:rPr>
      </w:pPr>
      <w:r w:rsidRPr="007544A7">
        <w:rPr>
          <w:rFonts w:ascii="Bookman Old Style" w:hAnsi="Bookman Old Style"/>
        </w:rPr>
        <w:t>Computer/ Laptop with Microphone &amp; Camera in working condition</w:t>
      </w:r>
    </w:p>
    <w:p w:rsidR="007544A7" w:rsidRDefault="00C21D9D" w:rsidP="00F660E3">
      <w:pPr>
        <w:pStyle w:val="ListParagraph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Bookman Old Style" w:hAnsi="Bookman Old Style"/>
        </w:rPr>
      </w:pPr>
      <w:r w:rsidRPr="007544A7">
        <w:rPr>
          <w:rFonts w:ascii="Bookman Old Style" w:hAnsi="Bookman Old Style"/>
        </w:rPr>
        <w:lastRenderedPageBreak/>
        <w:t>Good Internet</w:t>
      </w:r>
    </w:p>
    <w:p w:rsidR="00C21D9D" w:rsidRPr="007544A7" w:rsidRDefault="00C21D9D" w:rsidP="00F660E3">
      <w:pPr>
        <w:pStyle w:val="ListParagraph"/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Bookman Old Style" w:hAnsi="Bookman Old Style"/>
        </w:rPr>
      </w:pPr>
      <w:r w:rsidRPr="007544A7">
        <w:rPr>
          <w:rFonts w:ascii="Bookman Old Style" w:hAnsi="Bookman Old Style"/>
        </w:rPr>
        <w:t>Access to Google Forms / MS Forms</w:t>
      </w:r>
    </w:p>
    <w:p w:rsidR="00C21D9D" w:rsidRPr="007544A7" w:rsidRDefault="00D116C1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7544A7">
        <w:rPr>
          <w:rFonts w:ascii="Bookman Old Style" w:hAnsi="Bookman Old Style"/>
          <w:b/>
          <w:color w:val="auto"/>
        </w:rPr>
        <w:t xml:space="preserve">How to Obtain Credit </w:t>
      </w:r>
    </w:p>
    <w:p w:rsidR="00D116C1" w:rsidRPr="007544A7" w:rsidRDefault="00D116C1" w:rsidP="00F660E3">
      <w:p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</w:rPr>
        <w:t xml:space="preserve">To obtain </w:t>
      </w:r>
      <w:r w:rsidR="00C21D9D" w:rsidRPr="007544A7">
        <w:rPr>
          <w:rFonts w:ascii="Bookman Old Style" w:hAnsi="Bookman Old Style"/>
        </w:rPr>
        <w:t xml:space="preserve">CPD or </w:t>
      </w:r>
      <w:r w:rsidRPr="007544A7">
        <w:rPr>
          <w:rFonts w:ascii="Bookman Old Style" w:hAnsi="Bookman Old Style"/>
        </w:rPr>
        <w:t>CME Credit, complete the post-tests with an 80% pass rate. Complete the evaluation survey on-line and submit. A certificate will be mailed within a week of course completion date to the E-mail address provided at the time of registration.</w:t>
      </w:r>
    </w:p>
    <w:p w:rsidR="007E399C" w:rsidRDefault="007E399C" w:rsidP="007E399C">
      <w:pPr>
        <w:pStyle w:val="Heading2"/>
        <w:spacing w:line="360" w:lineRule="auto"/>
        <w:jc w:val="both"/>
        <w:rPr>
          <w:rFonts w:ascii="Bookman Old Style" w:hAnsi="Bookman Old Style"/>
          <w:b/>
          <w:color w:val="auto"/>
          <w:lang w:val="en-US"/>
        </w:rPr>
      </w:pPr>
      <w:r w:rsidRPr="007E399C">
        <w:rPr>
          <w:rFonts w:ascii="Bookman Old Style" w:hAnsi="Bookman Old Style"/>
          <w:b/>
          <w:color w:val="auto"/>
          <w:lang w:val="en-US"/>
        </w:rPr>
        <w:t>Learning outcomes</w:t>
      </w:r>
    </w:p>
    <w:p w:rsidR="007E399C" w:rsidRPr="007E399C" w:rsidRDefault="007E399C" w:rsidP="007E399C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E399C">
        <w:rPr>
          <w:rFonts w:ascii="Bookman Old Style" w:hAnsi="Bookman Old Style"/>
          <w:sz w:val="24"/>
          <w:szCs w:val="24"/>
          <w:lang w:val="en-US"/>
        </w:rPr>
        <w:t>By the end of the training participants will be able to</w:t>
      </w:r>
    </w:p>
    <w:p w:rsidR="007E399C" w:rsidRPr="007E399C" w:rsidRDefault="007E399C" w:rsidP="007E399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Explain</w:t>
      </w:r>
      <w:r w:rsidRPr="007E399C">
        <w:rPr>
          <w:rFonts w:ascii="Bookman Old Style" w:hAnsi="Bookman Old Style"/>
          <w:sz w:val="24"/>
          <w:szCs w:val="24"/>
          <w:lang w:val="en-US"/>
        </w:rPr>
        <w:t xml:space="preserve"> diabetes epidemiology, classification, pathophysiology, etiology, and clinical presentation across different types.</w:t>
      </w:r>
    </w:p>
    <w:p w:rsidR="007E399C" w:rsidRPr="007E399C" w:rsidRDefault="007E399C" w:rsidP="007E399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Conduct</w:t>
      </w:r>
      <w:r w:rsidRPr="007E399C">
        <w:rPr>
          <w:rFonts w:ascii="Bookman Old Style" w:hAnsi="Bookman Old Style"/>
          <w:sz w:val="24"/>
          <w:szCs w:val="24"/>
          <w:lang w:val="en-US"/>
        </w:rPr>
        <w:t xml:space="preserve"> comprehensive examinations,</w:t>
      </w:r>
      <w:r>
        <w:rPr>
          <w:rFonts w:ascii="Bookman Old Style" w:hAnsi="Bookman Old Style"/>
          <w:sz w:val="24"/>
          <w:szCs w:val="24"/>
          <w:lang w:val="en-US"/>
        </w:rPr>
        <w:t xml:space="preserve"> interpret laboratory tests </w:t>
      </w:r>
      <w:r w:rsidRPr="007E399C">
        <w:rPr>
          <w:rFonts w:ascii="Bookman Old Style" w:hAnsi="Bookman Old Style"/>
          <w:sz w:val="24"/>
          <w:szCs w:val="24"/>
          <w:lang w:val="en-US"/>
        </w:rPr>
        <w:t xml:space="preserve">for </w:t>
      </w:r>
      <w:r>
        <w:rPr>
          <w:rFonts w:ascii="Bookman Old Style" w:hAnsi="Bookman Old Style"/>
          <w:sz w:val="24"/>
          <w:szCs w:val="24"/>
          <w:lang w:val="en-US"/>
        </w:rPr>
        <w:t>monitoring diabetic patients</w:t>
      </w:r>
      <w:r w:rsidRPr="007E399C">
        <w:rPr>
          <w:rFonts w:ascii="Bookman Old Style" w:hAnsi="Bookman Old Style"/>
          <w:sz w:val="24"/>
          <w:szCs w:val="24"/>
          <w:lang w:val="en-US"/>
        </w:rPr>
        <w:t>.</w:t>
      </w:r>
    </w:p>
    <w:p w:rsidR="007E399C" w:rsidRDefault="007E399C" w:rsidP="007E399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Guide</w:t>
      </w:r>
      <w:r w:rsidRPr="007E399C">
        <w:rPr>
          <w:rFonts w:ascii="Bookman Old Style" w:hAnsi="Bookman Old Style"/>
          <w:sz w:val="24"/>
          <w:szCs w:val="24"/>
          <w:lang w:val="en-US"/>
        </w:rPr>
        <w:t xml:space="preserve"> patients on self-monitoring of glucose levels, implementing dietary modificatio</w:t>
      </w:r>
      <w:r>
        <w:rPr>
          <w:rFonts w:ascii="Bookman Old Style" w:hAnsi="Bookman Old Style"/>
          <w:sz w:val="24"/>
          <w:szCs w:val="24"/>
          <w:lang w:val="en-US"/>
        </w:rPr>
        <w:t>ns, promoting physical activity.</w:t>
      </w:r>
    </w:p>
    <w:p w:rsidR="007E399C" w:rsidRDefault="007E399C" w:rsidP="0046745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Counsel patients on effective use of antidiabetic medications.</w:t>
      </w:r>
    </w:p>
    <w:p w:rsidR="007E399C" w:rsidRDefault="007E399C" w:rsidP="007E399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E399C">
        <w:rPr>
          <w:rFonts w:ascii="Bookman Old Style" w:hAnsi="Bookman Old Style"/>
          <w:sz w:val="24"/>
          <w:szCs w:val="24"/>
          <w:lang w:val="en-US"/>
        </w:rPr>
        <w:t>Work with multidisciplinary team to identify and manage acute and chronic complica</w:t>
      </w:r>
      <w:r>
        <w:rPr>
          <w:rFonts w:ascii="Bookman Old Style" w:hAnsi="Bookman Old Style"/>
          <w:sz w:val="24"/>
          <w:szCs w:val="24"/>
          <w:lang w:val="en-US"/>
        </w:rPr>
        <w:t>tions associated with diabetes.</w:t>
      </w:r>
    </w:p>
    <w:p w:rsidR="007E399C" w:rsidRDefault="007E399C" w:rsidP="007E399C">
      <w:pPr>
        <w:pStyle w:val="Heading2"/>
        <w:spacing w:line="360" w:lineRule="auto"/>
        <w:jc w:val="both"/>
        <w:rPr>
          <w:rFonts w:ascii="Bookman Old Style" w:hAnsi="Bookman Old Style"/>
          <w:b/>
          <w:color w:val="auto"/>
          <w:lang w:val="en-US"/>
        </w:rPr>
      </w:pPr>
      <w:r w:rsidRPr="007544A7">
        <w:rPr>
          <w:rFonts w:ascii="Bookman Old Style" w:hAnsi="Bookman Old Style"/>
          <w:b/>
          <w:color w:val="auto"/>
          <w:lang w:val="en-US"/>
        </w:rPr>
        <w:t xml:space="preserve">Curriculum </w:t>
      </w:r>
    </w:p>
    <w:p w:rsidR="007544A7" w:rsidRPr="007544A7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7544A7">
        <w:rPr>
          <w:rFonts w:ascii="Bookman Old Style" w:hAnsi="Bookman Old Style"/>
          <w:b/>
          <w:color w:val="auto"/>
        </w:rPr>
        <w:t>Module 1: Diabetes Overview; Pathophysiology, and Diagnosis</w:t>
      </w:r>
    </w:p>
    <w:p w:rsidR="007544A7" w:rsidRPr="007544A7" w:rsidRDefault="007544A7" w:rsidP="00F660E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Epidemiology</w:t>
      </w:r>
      <w:r w:rsidRPr="007544A7">
        <w:rPr>
          <w:rFonts w:ascii="Bookman Old Style" w:hAnsi="Bookman Old Style"/>
        </w:rPr>
        <w:t>: Prevalence, trends, and global impact of diabetes.</w:t>
      </w:r>
    </w:p>
    <w:p w:rsidR="007544A7" w:rsidRPr="007544A7" w:rsidRDefault="007544A7" w:rsidP="00F660E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Classification</w:t>
      </w:r>
      <w:r w:rsidRPr="007544A7">
        <w:rPr>
          <w:rFonts w:ascii="Bookman Old Style" w:hAnsi="Bookman Old Style"/>
        </w:rPr>
        <w:t>: Types of diabetes (Type 1, Type 2, Gestational, etc.) and their distinctive features.</w:t>
      </w:r>
    </w:p>
    <w:p w:rsidR="007544A7" w:rsidRPr="007544A7" w:rsidRDefault="007544A7" w:rsidP="00F660E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Pathophysiology</w:t>
      </w:r>
      <w:r w:rsidRPr="007544A7">
        <w:rPr>
          <w:rFonts w:ascii="Bookman Old Style" w:hAnsi="Bookman Old Style"/>
        </w:rPr>
        <w:t>: Mechanisms underlying insulin resistance and beta-cell dysfunction.</w:t>
      </w:r>
    </w:p>
    <w:p w:rsidR="007544A7" w:rsidRPr="007544A7" w:rsidRDefault="007544A7" w:rsidP="00F660E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Etiology</w:t>
      </w:r>
      <w:r w:rsidRPr="007544A7">
        <w:rPr>
          <w:rFonts w:ascii="Bookman Old Style" w:hAnsi="Bookman Old Style"/>
        </w:rPr>
        <w:t>: Factors contributing to the development of diabetes.</w:t>
      </w:r>
    </w:p>
    <w:p w:rsidR="007544A7" w:rsidRPr="007544A7" w:rsidRDefault="007544A7" w:rsidP="00F660E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Presentation</w:t>
      </w:r>
      <w:r w:rsidRPr="007544A7">
        <w:rPr>
          <w:rFonts w:ascii="Bookman Old Style" w:hAnsi="Bookman Old Style"/>
        </w:rPr>
        <w:t>: Clinical manifestations and symptoms associated with different types of diabetes.</w:t>
      </w:r>
    </w:p>
    <w:p w:rsidR="007544A7" w:rsidRPr="007544A7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7544A7">
        <w:rPr>
          <w:rFonts w:ascii="Bookman Old Style" w:hAnsi="Bookman Old Style"/>
          <w:b/>
          <w:color w:val="auto"/>
        </w:rPr>
        <w:t>Module 2: Comprehensive Examination and Referrals</w:t>
      </w:r>
    </w:p>
    <w:p w:rsidR="007544A7" w:rsidRPr="007544A7" w:rsidRDefault="007544A7" w:rsidP="00F660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Medical History:</w:t>
      </w:r>
      <w:r w:rsidRPr="007544A7">
        <w:rPr>
          <w:rFonts w:ascii="Bookman Old Style" w:hAnsi="Bookman Old Style"/>
        </w:rPr>
        <w:t xml:space="preserve"> Conducting a thorough medical history taking, focusing on diabetes-related symptoms and risk factors.</w:t>
      </w:r>
    </w:p>
    <w:p w:rsidR="007544A7" w:rsidRPr="007544A7" w:rsidRDefault="007544A7" w:rsidP="00F660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lastRenderedPageBreak/>
        <w:t>Physical Examination Components</w:t>
      </w:r>
      <w:r w:rsidRPr="007544A7">
        <w:rPr>
          <w:rFonts w:ascii="Bookman Old Style" w:hAnsi="Bookman Old Style"/>
        </w:rPr>
        <w:t>: Detailed examination techniques for assessing diabetes-related complications and overall health.</w:t>
      </w:r>
    </w:p>
    <w:p w:rsidR="007544A7" w:rsidRPr="007544A7" w:rsidRDefault="007544A7" w:rsidP="00F660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Laboratory Tests</w:t>
      </w:r>
      <w:r w:rsidRPr="007544A7">
        <w:rPr>
          <w:rFonts w:ascii="Bookman Old Style" w:hAnsi="Bookman Old Style"/>
        </w:rPr>
        <w:t>: Interpretation of various laboratory tests used in the diagnosis and monitoring of diabetes, with recommended target goals.</w:t>
      </w:r>
    </w:p>
    <w:p w:rsidR="007544A7" w:rsidRPr="007544A7" w:rsidRDefault="007544A7" w:rsidP="00F660E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Referral Criteria</w:t>
      </w:r>
      <w:r w:rsidRPr="007544A7">
        <w:rPr>
          <w:rFonts w:ascii="Bookman Old Style" w:hAnsi="Bookman Old Style"/>
        </w:rPr>
        <w:t>: Identifying indications for referral to specialists for managing diabetes-related comorbidities.</w:t>
      </w:r>
    </w:p>
    <w:p w:rsidR="007544A7" w:rsidRPr="007544A7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7544A7">
        <w:rPr>
          <w:rFonts w:ascii="Bookman Old Style" w:hAnsi="Bookman Old Style"/>
          <w:b/>
          <w:color w:val="auto"/>
        </w:rPr>
        <w:t>Module 3: Non-Pharmacologic Management of Diabetes Mellitus</w:t>
      </w:r>
    </w:p>
    <w:p w:rsidR="007544A7" w:rsidRPr="007544A7" w:rsidRDefault="007544A7" w:rsidP="00F660E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Self-Monitoring of Glucose Levels:</w:t>
      </w:r>
      <w:r w:rsidRPr="007544A7">
        <w:rPr>
          <w:rFonts w:ascii="Bookman Old Style" w:hAnsi="Bookman Old Style"/>
        </w:rPr>
        <w:t xml:space="preserve"> Techniques for glucose monitoring and interpretation of results.</w:t>
      </w:r>
    </w:p>
    <w:p w:rsidR="007544A7" w:rsidRPr="007544A7" w:rsidRDefault="007544A7" w:rsidP="00F660E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Diet</w:t>
      </w:r>
      <w:r w:rsidRPr="007544A7">
        <w:rPr>
          <w:rFonts w:ascii="Bookman Old Style" w:hAnsi="Bookman Old Style"/>
        </w:rPr>
        <w:t xml:space="preserve">: Nutritional principles, meal planning, and dietary modifications for </w:t>
      </w:r>
      <w:proofErr w:type="spellStart"/>
      <w:r w:rsidRPr="007544A7">
        <w:rPr>
          <w:rFonts w:ascii="Bookman Old Style" w:hAnsi="Bookman Old Style"/>
        </w:rPr>
        <w:t>glycemic</w:t>
      </w:r>
      <w:proofErr w:type="spellEnd"/>
      <w:r w:rsidRPr="007544A7">
        <w:rPr>
          <w:rFonts w:ascii="Bookman Old Style" w:hAnsi="Bookman Old Style"/>
        </w:rPr>
        <w:t xml:space="preserve"> control.</w:t>
      </w:r>
    </w:p>
    <w:p w:rsidR="007544A7" w:rsidRPr="007544A7" w:rsidRDefault="007544A7" w:rsidP="00F660E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Activity</w:t>
      </w:r>
      <w:r w:rsidRPr="007544A7">
        <w:rPr>
          <w:rFonts w:ascii="Bookman Old Style" w:hAnsi="Bookman Old Style"/>
        </w:rPr>
        <w:t>: Importance of physical activity, exercise recommendations, and integrating fitness into daily routines.</w:t>
      </w:r>
    </w:p>
    <w:p w:rsidR="007544A7" w:rsidRPr="007544A7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7544A7">
        <w:rPr>
          <w:rFonts w:ascii="Bookman Old Style" w:hAnsi="Bookman Old Style"/>
          <w:b/>
          <w:color w:val="auto"/>
        </w:rPr>
        <w:t>Module 4: Insulin Therapy</w:t>
      </w:r>
    </w:p>
    <w:p w:rsidR="007544A7" w:rsidRPr="007544A7" w:rsidRDefault="007544A7" w:rsidP="00F660E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Types of Insulin</w:t>
      </w:r>
      <w:r w:rsidRPr="007544A7">
        <w:rPr>
          <w:rFonts w:ascii="Bookman Old Style" w:hAnsi="Bookman Old Style"/>
        </w:rPr>
        <w:t>: Overview of insulin types, including rapid-acting, short-acting, intermediate-acting, and long-acting insulins.</w:t>
      </w:r>
    </w:p>
    <w:p w:rsidR="007544A7" w:rsidRPr="007544A7" w:rsidRDefault="007544A7" w:rsidP="00F660E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Insulin Regimens</w:t>
      </w:r>
      <w:r w:rsidRPr="007544A7">
        <w:rPr>
          <w:rFonts w:ascii="Bookman Old Style" w:hAnsi="Bookman Old Style"/>
        </w:rPr>
        <w:t>: Strategies for insulin dosing and administration, including basal-bolus and basal-plus regimens.</w:t>
      </w:r>
    </w:p>
    <w:p w:rsidR="007544A7" w:rsidRPr="007544A7" w:rsidRDefault="007544A7" w:rsidP="00F660E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Initiation of Insulin Therapy</w:t>
      </w:r>
      <w:r w:rsidRPr="007544A7">
        <w:rPr>
          <w:rFonts w:ascii="Bookman Old Style" w:hAnsi="Bookman Old Style"/>
        </w:rPr>
        <w:t>: Guidelines for initiating insulin therapy and titration protocols.</w:t>
      </w:r>
    </w:p>
    <w:p w:rsidR="007544A7" w:rsidRPr="007544A7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7544A7">
        <w:rPr>
          <w:rFonts w:ascii="Bookman Old Style" w:hAnsi="Bookman Old Style"/>
          <w:b/>
          <w:color w:val="auto"/>
        </w:rPr>
        <w:t xml:space="preserve">Module 5: Oral </w:t>
      </w:r>
      <w:proofErr w:type="spellStart"/>
      <w:r w:rsidRPr="007544A7">
        <w:rPr>
          <w:rFonts w:ascii="Bookman Old Style" w:hAnsi="Bookman Old Style"/>
          <w:b/>
          <w:color w:val="auto"/>
        </w:rPr>
        <w:t>Hypoglycemic</w:t>
      </w:r>
      <w:proofErr w:type="spellEnd"/>
      <w:r w:rsidRPr="007544A7">
        <w:rPr>
          <w:rFonts w:ascii="Bookman Old Style" w:hAnsi="Bookman Old Style"/>
          <w:b/>
          <w:color w:val="auto"/>
        </w:rPr>
        <w:t xml:space="preserve"> Agents</w:t>
      </w:r>
    </w:p>
    <w:p w:rsidR="007544A7" w:rsidRPr="007544A7" w:rsidRDefault="007544A7" w:rsidP="00F660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7544A7">
        <w:rPr>
          <w:rFonts w:ascii="Bookman Old Style" w:hAnsi="Bookman Old Style"/>
          <w:b/>
        </w:rPr>
        <w:t>Sulphonylureas</w:t>
      </w:r>
      <w:proofErr w:type="spellEnd"/>
      <w:r w:rsidRPr="007544A7">
        <w:rPr>
          <w:rFonts w:ascii="Bookman Old Style" w:hAnsi="Bookman Old Style"/>
          <w:b/>
        </w:rPr>
        <w:t xml:space="preserve">, </w:t>
      </w:r>
      <w:proofErr w:type="spellStart"/>
      <w:r w:rsidRPr="007544A7">
        <w:rPr>
          <w:rFonts w:ascii="Bookman Old Style" w:hAnsi="Bookman Old Style"/>
          <w:b/>
        </w:rPr>
        <w:t>Incretins</w:t>
      </w:r>
      <w:proofErr w:type="spellEnd"/>
      <w:r w:rsidRPr="007544A7">
        <w:rPr>
          <w:rFonts w:ascii="Bookman Old Style" w:hAnsi="Bookman Old Style"/>
          <w:b/>
        </w:rPr>
        <w:t>, DPP4 Inhibitors</w:t>
      </w:r>
      <w:r w:rsidRPr="007544A7">
        <w:rPr>
          <w:rFonts w:ascii="Bookman Old Style" w:hAnsi="Bookman Old Style"/>
        </w:rPr>
        <w:t>: Mechanism of action, efficacy, and safety profiles of these oral antidiabetic medications.</w:t>
      </w:r>
    </w:p>
    <w:p w:rsidR="007544A7" w:rsidRPr="007544A7" w:rsidRDefault="007544A7" w:rsidP="00F660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Metformin</w:t>
      </w:r>
      <w:r w:rsidRPr="007544A7">
        <w:rPr>
          <w:rFonts w:ascii="Bookman Old Style" w:hAnsi="Bookman Old Style"/>
        </w:rPr>
        <w:t xml:space="preserve">: Indications, contraindications, and dosing considerations for the first-line oral </w:t>
      </w:r>
      <w:proofErr w:type="spellStart"/>
      <w:r w:rsidRPr="007544A7">
        <w:rPr>
          <w:rFonts w:ascii="Bookman Old Style" w:hAnsi="Bookman Old Style"/>
        </w:rPr>
        <w:t>hypoglycemic</w:t>
      </w:r>
      <w:proofErr w:type="spellEnd"/>
      <w:r w:rsidRPr="007544A7">
        <w:rPr>
          <w:rFonts w:ascii="Bookman Old Style" w:hAnsi="Bookman Old Style"/>
        </w:rPr>
        <w:t xml:space="preserve"> agent.</w:t>
      </w:r>
    </w:p>
    <w:p w:rsidR="007544A7" w:rsidRPr="007544A7" w:rsidRDefault="007544A7" w:rsidP="00F660E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>Other Agents</w:t>
      </w:r>
      <w:r w:rsidRPr="007544A7">
        <w:rPr>
          <w:rFonts w:ascii="Bookman Old Style" w:hAnsi="Bookman Old Style"/>
        </w:rPr>
        <w:t xml:space="preserve">: Overview of newer oral </w:t>
      </w:r>
      <w:proofErr w:type="spellStart"/>
      <w:r w:rsidRPr="007544A7">
        <w:rPr>
          <w:rFonts w:ascii="Bookman Old Style" w:hAnsi="Bookman Old Style"/>
        </w:rPr>
        <w:t>hypoglycemic</w:t>
      </w:r>
      <w:proofErr w:type="spellEnd"/>
      <w:r w:rsidRPr="007544A7">
        <w:rPr>
          <w:rFonts w:ascii="Bookman Old Style" w:hAnsi="Bookman Old Style"/>
        </w:rPr>
        <w:t xml:space="preserve"> agents and their roles in diabetes management.</w:t>
      </w:r>
    </w:p>
    <w:p w:rsidR="007544A7" w:rsidRPr="00EF15B3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EF15B3">
        <w:rPr>
          <w:rFonts w:ascii="Bookman Old Style" w:hAnsi="Bookman Old Style"/>
          <w:b/>
          <w:color w:val="auto"/>
        </w:rPr>
        <w:t xml:space="preserve">Module 6: </w:t>
      </w:r>
      <w:proofErr w:type="spellStart"/>
      <w:r w:rsidRPr="00EF15B3">
        <w:rPr>
          <w:rFonts w:ascii="Bookman Old Style" w:hAnsi="Bookman Old Style"/>
          <w:b/>
          <w:color w:val="auto"/>
        </w:rPr>
        <w:t>Hypoglycemia</w:t>
      </w:r>
      <w:proofErr w:type="spellEnd"/>
      <w:r w:rsidRPr="00EF15B3">
        <w:rPr>
          <w:rFonts w:ascii="Bookman Old Style" w:hAnsi="Bookman Old Style"/>
          <w:b/>
          <w:color w:val="auto"/>
        </w:rPr>
        <w:t xml:space="preserve"> and </w:t>
      </w:r>
      <w:proofErr w:type="spellStart"/>
      <w:r w:rsidRPr="00EF15B3">
        <w:rPr>
          <w:rFonts w:ascii="Bookman Old Style" w:hAnsi="Bookman Old Style"/>
          <w:b/>
          <w:color w:val="auto"/>
        </w:rPr>
        <w:t>Hyperglycemia</w:t>
      </w:r>
      <w:proofErr w:type="spellEnd"/>
    </w:p>
    <w:p w:rsidR="007544A7" w:rsidRPr="007544A7" w:rsidRDefault="007544A7" w:rsidP="00F660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 xml:space="preserve">Physiology of </w:t>
      </w:r>
      <w:proofErr w:type="spellStart"/>
      <w:r w:rsidRPr="007544A7">
        <w:rPr>
          <w:rFonts w:ascii="Bookman Old Style" w:hAnsi="Bookman Old Style"/>
          <w:b/>
        </w:rPr>
        <w:t>Hypoglycemia</w:t>
      </w:r>
      <w:proofErr w:type="spellEnd"/>
      <w:r w:rsidRPr="007544A7">
        <w:rPr>
          <w:rFonts w:ascii="Bookman Old Style" w:hAnsi="Bookman Old Style"/>
          <w:b/>
        </w:rPr>
        <w:t>:</w:t>
      </w:r>
      <w:r w:rsidRPr="007544A7">
        <w:rPr>
          <w:rFonts w:ascii="Bookman Old Style" w:hAnsi="Bookman Old Style"/>
        </w:rPr>
        <w:t xml:space="preserve"> Understanding the counter-regulatory response and symptoms of </w:t>
      </w:r>
      <w:proofErr w:type="spellStart"/>
      <w:r w:rsidRPr="007544A7">
        <w:rPr>
          <w:rFonts w:ascii="Bookman Old Style" w:hAnsi="Bookman Old Style"/>
        </w:rPr>
        <w:t>hypoglycemia</w:t>
      </w:r>
      <w:proofErr w:type="spellEnd"/>
      <w:r w:rsidRPr="007544A7">
        <w:rPr>
          <w:rFonts w:ascii="Bookman Old Style" w:hAnsi="Bookman Old Style"/>
        </w:rPr>
        <w:t>.</w:t>
      </w:r>
    </w:p>
    <w:p w:rsidR="007544A7" w:rsidRPr="007544A7" w:rsidRDefault="007544A7" w:rsidP="00F660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 w:rsidRPr="007544A7">
        <w:rPr>
          <w:rFonts w:ascii="Bookman Old Style" w:hAnsi="Bookman Old Style"/>
          <w:b/>
        </w:rPr>
        <w:t xml:space="preserve">Treatment of </w:t>
      </w:r>
      <w:proofErr w:type="spellStart"/>
      <w:r w:rsidRPr="007544A7">
        <w:rPr>
          <w:rFonts w:ascii="Bookman Old Style" w:hAnsi="Bookman Old Style"/>
          <w:b/>
        </w:rPr>
        <w:t>Hypoglycemia</w:t>
      </w:r>
      <w:proofErr w:type="spellEnd"/>
      <w:r w:rsidRPr="007544A7">
        <w:rPr>
          <w:rFonts w:ascii="Bookman Old Style" w:hAnsi="Bookman Old Style"/>
        </w:rPr>
        <w:t>: Management strategies, including the use of glucagon and prevention techniques.</w:t>
      </w:r>
    </w:p>
    <w:p w:rsidR="007544A7" w:rsidRPr="007544A7" w:rsidRDefault="007544A7" w:rsidP="00F660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7544A7">
        <w:rPr>
          <w:rFonts w:ascii="Bookman Old Style" w:hAnsi="Bookman Old Style"/>
          <w:b/>
        </w:rPr>
        <w:lastRenderedPageBreak/>
        <w:t>Hyperglycemia</w:t>
      </w:r>
      <w:proofErr w:type="spellEnd"/>
      <w:r w:rsidRPr="007544A7">
        <w:rPr>
          <w:rFonts w:ascii="Bookman Old Style" w:hAnsi="Bookman Old Style"/>
          <w:b/>
        </w:rPr>
        <w:t xml:space="preserve"> Treatment</w:t>
      </w:r>
      <w:r w:rsidRPr="007544A7">
        <w:rPr>
          <w:rFonts w:ascii="Bookman Old Style" w:hAnsi="Bookman Old Style"/>
        </w:rPr>
        <w:t xml:space="preserve">: Therapeutic approaches for managing </w:t>
      </w:r>
      <w:proofErr w:type="spellStart"/>
      <w:r w:rsidRPr="007544A7">
        <w:rPr>
          <w:rFonts w:ascii="Bookman Old Style" w:hAnsi="Bookman Old Style"/>
        </w:rPr>
        <w:t>hyperglycemia</w:t>
      </w:r>
      <w:proofErr w:type="spellEnd"/>
      <w:r w:rsidRPr="007544A7">
        <w:rPr>
          <w:rFonts w:ascii="Bookman Old Style" w:hAnsi="Bookman Old Style"/>
        </w:rPr>
        <w:t xml:space="preserve"> and complications during serious medical illnesses.</w:t>
      </w:r>
    </w:p>
    <w:p w:rsidR="007544A7" w:rsidRPr="00EF15B3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EF15B3">
        <w:rPr>
          <w:rFonts w:ascii="Bookman Old Style" w:hAnsi="Bookman Old Style"/>
          <w:b/>
          <w:color w:val="auto"/>
        </w:rPr>
        <w:t>Module 7: Gestational Diabetes and Diabetes in Pregnancy</w:t>
      </w:r>
    </w:p>
    <w:p w:rsidR="007544A7" w:rsidRPr="00EF15B3" w:rsidRDefault="007544A7" w:rsidP="00F660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Screening and Diagnosis</w:t>
      </w:r>
      <w:r w:rsidRPr="00EF15B3">
        <w:rPr>
          <w:rFonts w:ascii="Bookman Old Style" w:hAnsi="Bookman Old Style"/>
        </w:rPr>
        <w:t>: Criteria for diagnosing gestational diabetes and monitoring during pregnancy.</w:t>
      </w:r>
    </w:p>
    <w:p w:rsidR="007544A7" w:rsidRPr="00EF15B3" w:rsidRDefault="007544A7" w:rsidP="00F660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F15B3">
        <w:rPr>
          <w:rFonts w:ascii="Bookman Old Style" w:hAnsi="Bookman Old Style"/>
          <w:b/>
        </w:rPr>
        <w:t>Glycemic</w:t>
      </w:r>
      <w:proofErr w:type="spellEnd"/>
      <w:r w:rsidRPr="00EF15B3">
        <w:rPr>
          <w:rFonts w:ascii="Bookman Old Style" w:hAnsi="Bookman Old Style"/>
          <w:b/>
        </w:rPr>
        <w:t xml:space="preserve"> Control</w:t>
      </w:r>
      <w:r w:rsidRPr="00EF15B3">
        <w:rPr>
          <w:rFonts w:ascii="Bookman Old Style" w:hAnsi="Bookman Old Style"/>
        </w:rPr>
        <w:t>: Strategies for achieving optimal blood glucose levels during pregnancy.</w:t>
      </w:r>
    </w:p>
    <w:p w:rsidR="007544A7" w:rsidRPr="00EF15B3" w:rsidRDefault="007544A7" w:rsidP="00F660E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 xml:space="preserve">Management Recommendations: </w:t>
      </w:r>
      <w:r w:rsidRPr="00EF15B3">
        <w:rPr>
          <w:rFonts w:ascii="Bookman Old Style" w:hAnsi="Bookman Old Style"/>
        </w:rPr>
        <w:t>Assessment, evaluation, and treatment of pregnant women with diabetes, including medication considerations.</w:t>
      </w:r>
    </w:p>
    <w:p w:rsidR="007544A7" w:rsidRPr="00EF15B3" w:rsidRDefault="007544A7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 w:rsidRPr="00EF15B3">
        <w:rPr>
          <w:rFonts w:ascii="Bookman Old Style" w:hAnsi="Bookman Old Style"/>
          <w:b/>
          <w:color w:val="auto"/>
        </w:rPr>
        <w:t>Module 8: Management o</w:t>
      </w:r>
      <w:r w:rsidR="00D26E97">
        <w:rPr>
          <w:rFonts w:ascii="Bookman Old Style" w:hAnsi="Bookman Old Style"/>
          <w:b/>
          <w:color w:val="auto"/>
        </w:rPr>
        <w:t>f Diabetic Complications</w:t>
      </w:r>
    </w:p>
    <w:p w:rsidR="007544A7" w:rsidRPr="00EF15B3" w:rsidRDefault="007544A7" w:rsidP="00F660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Diabetic Ketoacidosis</w:t>
      </w:r>
      <w:r w:rsidRPr="00EF15B3">
        <w:rPr>
          <w:rFonts w:ascii="Bookman Old Style" w:hAnsi="Bookman Old Style"/>
        </w:rPr>
        <w:t>: Pathophysiology, clinical features, and management of this acute complication.</w:t>
      </w:r>
    </w:p>
    <w:p w:rsidR="007544A7" w:rsidRPr="00EF15B3" w:rsidRDefault="007544A7" w:rsidP="00F660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Ophthalmologic Complications</w:t>
      </w:r>
      <w:r w:rsidRPr="00EF15B3">
        <w:rPr>
          <w:rFonts w:ascii="Bookman Old Style" w:hAnsi="Bookman Old Style"/>
        </w:rPr>
        <w:t>: Screening, prevention, and treatment of diabetic retinopathy and other ocular manifestations.</w:t>
      </w:r>
    </w:p>
    <w:p w:rsidR="007544A7" w:rsidRPr="00EF15B3" w:rsidRDefault="007544A7" w:rsidP="00F660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Renal and Neuropathic Complications</w:t>
      </w:r>
      <w:r w:rsidRPr="00EF15B3">
        <w:rPr>
          <w:rFonts w:ascii="Bookman Old Style" w:hAnsi="Bookman Old Style"/>
        </w:rPr>
        <w:t>: Evaluation and management of diabetic nephropathy and neuropathy.</w:t>
      </w:r>
    </w:p>
    <w:p w:rsidR="007544A7" w:rsidRPr="00EF15B3" w:rsidRDefault="007544A7" w:rsidP="00F660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Diabetic Foot Disease</w:t>
      </w:r>
      <w:r w:rsidRPr="00EF15B3">
        <w:rPr>
          <w:rFonts w:ascii="Bookman Old Style" w:hAnsi="Bookman Old Style"/>
        </w:rPr>
        <w:t>: Prevention strategies, wound care, and management of diabetic foot ulcers.</w:t>
      </w:r>
    </w:p>
    <w:p w:rsidR="007544A7" w:rsidRPr="00EF15B3" w:rsidRDefault="007544A7" w:rsidP="00F660E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F15B3">
        <w:rPr>
          <w:rFonts w:ascii="Bookman Old Style" w:hAnsi="Bookman Old Style"/>
          <w:b/>
        </w:rPr>
        <w:t>Macrovascular</w:t>
      </w:r>
      <w:proofErr w:type="spellEnd"/>
      <w:r w:rsidRPr="00EF15B3">
        <w:rPr>
          <w:rFonts w:ascii="Bookman Old Style" w:hAnsi="Bookman Old Style"/>
          <w:b/>
        </w:rPr>
        <w:t xml:space="preserve"> Disease</w:t>
      </w:r>
      <w:r w:rsidRPr="00EF15B3">
        <w:rPr>
          <w:rFonts w:ascii="Bookman Old Style" w:hAnsi="Bookman Old Style"/>
        </w:rPr>
        <w:t>: Understanding the cardiovascular implications of diabetes and preventive measures.</w:t>
      </w:r>
    </w:p>
    <w:p w:rsidR="007544A7" w:rsidRPr="00EF15B3" w:rsidRDefault="00EF15B3" w:rsidP="00F660E3">
      <w:pPr>
        <w:pStyle w:val="Heading3"/>
        <w:spacing w:line="360" w:lineRule="auto"/>
        <w:jc w:val="both"/>
        <w:rPr>
          <w:rFonts w:ascii="Bookman Old Style" w:hAnsi="Bookman Old Style"/>
          <w:b/>
          <w:color w:val="auto"/>
        </w:rPr>
      </w:pPr>
      <w:r>
        <w:rPr>
          <w:rFonts w:ascii="Bookman Old Style" w:hAnsi="Bookman Old Style"/>
          <w:b/>
          <w:color w:val="auto"/>
        </w:rPr>
        <w:t xml:space="preserve">Module 9: Patient Education </w:t>
      </w:r>
    </w:p>
    <w:p w:rsidR="007544A7" w:rsidRPr="00EF15B3" w:rsidRDefault="007544A7" w:rsidP="00F660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Health Literacy</w:t>
      </w:r>
      <w:r w:rsidRPr="00EF15B3">
        <w:rPr>
          <w:rFonts w:ascii="Bookman Old Style" w:hAnsi="Bookman Old Style"/>
        </w:rPr>
        <w:t>: Techniques for effective patient education and empowerment.</w:t>
      </w:r>
    </w:p>
    <w:p w:rsidR="007544A7" w:rsidRPr="00EF15B3" w:rsidRDefault="007544A7" w:rsidP="00F660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Self-Management Skills</w:t>
      </w:r>
      <w:r w:rsidRPr="00EF15B3">
        <w:rPr>
          <w:rFonts w:ascii="Bookman Old Style" w:hAnsi="Bookman Old Style"/>
        </w:rPr>
        <w:t>: Teaching patients self-care practices, medication adherence, and lifestyle modifications.</w:t>
      </w:r>
    </w:p>
    <w:p w:rsidR="003918D4" w:rsidRPr="00EF15B3" w:rsidRDefault="007544A7" w:rsidP="00F660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EF15B3">
        <w:rPr>
          <w:rFonts w:ascii="Bookman Old Style" w:hAnsi="Bookman Old Style"/>
          <w:b/>
        </w:rPr>
        <w:t>Support Resources</w:t>
      </w:r>
      <w:r w:rsidRPr="00EF15B3">
        <w:rPr>
          <w:rFonts w:ascii="Bookman Old Style" w:hAnsi="Bookman Old Style"/>
        </w:rPr>
        <w:t>: Providing information on community resources, support groups, and ongoing care options for patients with diabetes.</w:t>
      </w:r>
    </w:p>
    <w:p w:rsidR="00CE2041" w:rsidRDefault="00CE2041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CE2041" w:rsidRPr="00CE2041" w:rsidRDefault="00CE2041" w:rsidP="00CE2041">
      <w:pPr>
        <w:pStyle w:val="Heading2"/>
        <w:spacing w:line="360" w:lineRule="auto"/>
        <w:jc w:val="both"/>
        <w:rPr>
          <w:rFonts w:ascii="Bookman Old Style" w:hAnsi="Bookman Old Style"/>
          <w:b/>
          <w:color w:val="auto"/>
          <w:lang w:val="en-US"/>
        </w:rPr>
      </w:pPr>
      <w:r w:rsidRPr="00CE2041">
        <w:rPr>
          <w:rFonts w:ascii="Bookman Old Style" w:hAnsi="Bookman Old Style"/>
          <w:b/>
          <w:color w:val="auto"/>
          <w:lang w:val="en-US"/>
        </w:rPr>
        <w:lastRenderedPageBreak/>
        <w:t xml:space="preserve">Frequently Asked Questions (FAQ) </w:t>
      </w:r>
    </w:p>
    <w:p w:rsidR="00CE2041" w:rsidRPr="00CE2041" w:rsidRDefault="00CE2041" w:rsidP="00CE2041">
      <w:pPr>
        <w:spacing w:line="360" w:lineRule="auto"/>
        <w:jc w:val="both"/>
        <w:rPr>
          <w:rFonts w:ascii="Bookman Old Style" w:hAnsi="Bookman Old Style"/>
        </w:rPr>
      </w:pPr>
    </w:p>
    <w:p w:rsidR="00CE2041" w:rsidRPr="00CE2041" w:rsidRDefault="00CE2041" w:rsidP="00CE2041">
      <w:pPr>
        <w:spacing w:line="360" w:lineRule="auto"/>
        <w:jc w:val="both"/>
        <w:rPr>
          <w:rFonts w:ascii="Bookman Old Style" w:hAnsi="Bookman Old Style"/>
          <w:b/>
        </w:rPr>
      </w:pPr>
      <w:r w:rsidRPr="00CE2041">
        <w:rPr>
          <w:rFonts w:ascii="Bookman Old Style" w:hAnsi="Bookman Old Style"/>
          <w:b/>
        </w:rPr>
        <w:t>1. Who is this course designed for?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This course is designed for healthcare professionals, including doctors, nurses, pharmacists, dietitians, and other allied health professionals, who are involved in the care of patients with diabetes.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CE2041">
        <w:rPr>
          <w:rFonts w:ascii="Bookman Old Style" w:hAnsi="Bookman Old Style"/>
          <w:b/>
        </w:rPr>
        <w:t xml:space="preserve">2. Is there any prerequisite knowledge required to </w:t>
      </w:r>
      <w:proofErr w:type="spellStart"/>
      <w:r w:rsidRPr="00CE2041">
        <w:rPr>
          <w:rFonts w:ascii="Bookman Old Style" w:hAnsi="Bookman Old Style"/>
          <w:b/>
        </w:rPr>
        <w:t>enroll</w:t>
      </w:r>
      <w:proofErr w:type="spellEnd"/>
      <w:r w:rsidRPr="00CE2041">
        <w:rPr>
          <w:rFonts w:ascii="Bookman Old Style" w:hAnsi="Bookman Old Style"/>
          <w:b/>
        </w:rPr>
        <w:t xml:space="preserve"> in this course?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While there are no strict prerequisites, a basic understanding of diabetes and healthcare terminology would be beneficial. The course is designed to cater to participants with varying levels of expertise in diabetes management.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CE2041">
        <w:rPr>
          <w:rFonts w:ascii="Bookman Old Style" w:hAnsi="Bookman Old Style"/>
          <w:b/>
        </w:rPr>
        <w:t>3. How long is the duration of the course?</w:t>
      </w:r>
    </w:p>
    <w:p w:rsidR="0024793C" w:rsidRDefault="0024793C" w:rsidP="00696ACC">
      <w:pPr>
        <w:spacing w:line="360" w:lineRule="auto"/>
        <w:jc w:val="both"/>
        <w:rPr>
          <w:rFonts w:ascii="Bookman Old Style" w:hAnsi="Bookman Old Style"/>
        </w:rPr>
      </w:pPr>
      <w:r w:rsidRPr="0024793C">
        <w:rPr>
          <w:rFonts w:ascii="Bookman Old Style" w:hAnsi="Bookman Old Style"/>
        </w:rPr>
        <w:t>The duration of the course is 30 hours, to be completed within three weeks. The first 12 hours will be covered in the first 2 weeks through online live lectures (2 hours per day for 3 days/week), followed by 12 hours of directed self-paced learning. Additionally, participants are required to complete pre and post-tests (1 hour each) and a written case study assignment (4 hours).</w:t>
      </w:r>
    </w:p>
    <w:p w:rsidR="00CE2041" w:rsidRPr="00D31BB6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D31BB6">
        <w:rPr>
          <w:rFonts w:ascii="Bookman Old Style" w:hAnsi="Bookman Old Style"/>
          <w:b/>
        </w:rPr>
        <w:t>4. Is this course accredited for Continuing Professional Development (CPD) credits?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Yes, our course is accredited for CPD credits. Upon successful completion of the course, participants will receive a certificate of completion that can be used to claim CPD credits as per their professional requirements.</w:t>
      </w:r>
    </w:p>
    <w:p w:rsidR="00CE2041" w:rsidRPr="00D31BB6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D31BB6">
        <w:rPr>
          <w:rFonts w:ascii="Bookman Old Style" w:hAnsi="Bookman Old Style"/>
          <w:b/>
        </w:rPr>
        <w:t>5. Can I access course materials online?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Yes, all course materials, including lectures, presentations, reading materials, and resources, are accessible online through our learning management system. Participants can access these materials at their convenience.</w:t>
      </w:r>
    </w:p>
    <w:p w:rsidR="00CE2041" w:rsidRPr="00D31BB6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D31BB6">
        <w:rPr>
          <w:rFonts w:ascii="Bookman Old Style" w:hAnsi="Bookman Old Style"/>
          <w:b/>
        </w:rPr>
        <w:t>6. Will there be opportunities for hands-on training or practical exercises?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Yes, our course includes practical components such as case studies, interactive workshops, and simulation exercises to enhance learning and application of knowledge in real-world scenarios.</w:t>
      </w:r>
    </w:p>
    <w:p w:rsidR="00CE2041" w:rsidRPr="00D31BB6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D31BB6">
        <w:rPr>
          <w:rFonts w:ascii="Bookman Old Style" w:hAnsi="Bookman Old Style"/>
          <w:b/>
        </w:rPr>
        <w:t>7. How will I be assessed during the course?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lastRenderedPageBreak/>
        <w:t>Assessment methods may include quizzes, assignments, case studies, and a final examination, depending on the course format. Participants will receive feedback on their performance to track their progress throughout the course.</w:t>
      </w:r>
    </w:p>
    <w:p w:rsidR="00CE2041" w:rsidRPr="00D31BB6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D31BB6">
        <w:rPr>
          <w:rFonts w:ascii="Bookman Old Style" w:hAnsi="Bookman Old Style"/>
          <w:b/>
        </w:rPr>
        <w:t>8. What support will I receive from instructors during the course?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Our instructors are experienced healthcare professionals with expertise in diabetes management. They provide guidance, support, and feedback throughout the course duration to ensure participants have a fulfilling learning experience.</w:t>
      </w:r>
    </w:p>
    <w:p w:rsidR="00CE2041" w:rsidRPr="00D31BB6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D31BB6">
        <w:rPr>
          <w:rFonts w:ascii="Bookman Old Style" w:hAnsi="Bookman Old Style"/>
          <w:b/>
        </w:rPr>
        <w:t>9. Can I interact with other participants or instructors during the course?</w:t>
      </w:r>
    </w:p>
    <w:p w:rsidR="00CE2041" w:rsidRPr="00CE2041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>Yes, our courses encourage participant interaction through discussion forums, live Q&amp;A sessions, and group activities. Participants have the opportunity to engage with instructors and fellow learners, fostering a collaborative learning environment.</w:t>
      </w:r>
    </w:p>
    <w:p w:rsidR="00CE2041" w:rsidRPr="00D31BB6" w:rsidRDefault="00CE2041" w:rsidP="00696ACC">
      <w:pPr>
        <w:spacing w:line="360" w:lineRule="auto"/>
        <w:jc w:val="both"/>
        <w:rPr>
          <w:rFonts w:ascii="Bookman Old Style" w:hAnsi="Bookman Old Style"/>
          <w:b/>
        </w:rPr>
      </w:pPr>
      <w:r w:rsidRPr="00D31BB6">
        <w:rPr>
          <w:rFonts w:ascii="Bookman Old Style" w:hAnsi="Bookman Old Style"/>
          <w:b/>
        </w:rPr>
        <w:t>10. What career opportunities can this course open up for me?</w:t>
      </w:r>
    </w:p>
    <w:p w:rsidR="003918D4" w:rsidRPr="007544A7" w:rsidRDefault="00CE2041" w:rsidP="00696ACC">
      <w:pPr>
        <w:spacing w:line="360" w:lineRule="auto"/>
        <w:jc w:val="both"/>
        <w:rPr>
          <w:rFonts w:ascii="Bookman Old Style" w:hAnsi="Bookman Old Style"/>
        </w:rPr>
      </w:pPr>
      <w:r w:rsidRPr="00CE2041">
        <w:rPr>
          <w:rFonts w:ascii="Bookman Old Style" w:hAnsi="Bookman Old Style"/>
        </w:rPr>
        <w:t xml:space="preserve">This course equips participants with specialized knowledge and skills in diabetes management, enhancing their career prospects in various healthcare settings such as hospitals, clinics, community health </w:t>
      </w:r>
      <w:proofErr w:type="spellStart"/>
      <w:r w:rsidRPr="00CE2041">
        <w:rPr>
          <w:rFonts w:ascii="Bookman Old Style" w:hAnsi="Bookman Old Style"/>
        </w:rPr>
        <w:t>centers</w:t>
      </w:r>
      <w:proofErr w:type="spellEnd"/>
      <w:r w:rsidRPr="00CE2041">
        <w:rPr>
          <w:rFonts w:ascii="Bookman Old Style" w:hAnsi="Bookman Old Style"/>
        </w:rPr>
        <w:t>, and pharmaceutical companies. Additionally, it can lead to opportunities for research, teaching, or further specialization in diabetes care.</w:t>
      </w:r>
    </w:p>
    <w:p w:rsidR="003918D4" w:rsidRPr="007544A7" w:rsidRDefault="003918D4" w:rsidP="00F660E3">
      <w:pPr>
        <w:spacing w:line="360" w:lineRule="auto"/>
        <w:jc w:val="both"/>
        <w:rPr>
          <w:rFonts w:ascii="Bookman Old Style" w:hAnsi="Bookman Old Style"/>
        </w:rPr>
      </w:pPr>
    </w:p>
    <w:p w:rsidR="003918D4" w:rsidRPr="007544A7" w:rsidRDefault="003918D4" w:rsidP="00F660E3">
      <w:pPr>
        <w:spacing w:line="360" w:lineRule="auto"/>
        <w:jc w:val="both"/>
        <w:rPr>
          <w:rFonts w:ascii="Bookman Old Style" w:hAnsi="Bookman Old Style"/>
          <w:lang w:val="en-US"/>
        </w:rPr>
      </w:pPr>
    </w:p>
    <w:p w:rsidR="00066355" w:rsidRPr="007544A7" w:rsidRDefault="00066355" w:rsidP="00F660E3">
      <w:pPr>
        <w:spacing w:line="360" w:lineRule="auto"/>
        <w:jc w:val="both"/>
        <w:rPr>
          <w:rFonts w:ascii="Bookman Old Style" w:hAnsi="Bookman Old Style"/>
          <w:lang w:val="en-US"/>
        </w:rPr>
      </w:pPr>
      <w:bookmarkStart w:id="0" w:name="_GoBack"/>
      <w:bookmarkEnd w:id="0"/>
    </w:p>
    <w:p w:rsidR="00066355" w:rsidRPr="007544A7" w:rsidRDefault="00066355" w:rsidP="00F660E3">
      <w:pPr>
        <w:spacing w:line="360" w:lineRule="auto"/>
        <w:jc w:val="both"/>
        <w:rPr>
          <w:rFonts w:ascii="Bookman Old Style" w:hAnsi="Bookman Old Style"/>
          <w:lang w:val="en-US"/>
        </w:rPr>
      </w:pPr>
    </w:p>
    <w:sectPr w:rsidR="00066355" w:rsidRPr="007544A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B6" w:rsidRDefault="005676B6" w:rsidP="00EF15B3">
      <w:pPr>
        <w:spacing w:after="0" w:line="240" w:lineRule="auto"/>
      </w:pPr>
      <w:r>
        <w:separator/>
      </w:r>
    </w:p>
  </w:endnote>
  <w:endnote w:type="continuationSeparator" w:id="0">
    <w:p w:rsidR="005676B6" w:rsidRDefault="005676B6" w:rsidP="00EF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63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15B3" w:rsidRDefault="00EF15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8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8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15B3" w:rsidRDefault="00EF1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B6" w:rsidRDefault="005676B6" w:rsidP="00EF15B3">
      <w:pPr>
        <w:spacing w:after="0" w:line="240" w:lineRule="auto"/>
      </w:pPr>
      <w:r>
        <w:separator/>
      </w:r>
    </w:p>
  </w:footnote>
  <w:footnote w:type="continuationSeparator" w:id="0">
    <w:p w:rsidR="005676B6" w:rsidRDefault="005676B6" w:rsidP="00EF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0F2"/>
    <w:multiLevelType w:val="hybridMultilevel"/>
    <w:tmpl w:val="E4E6C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475E"/>
    <w:multiLevelType w:val="hybridMultilevel"/>
    <w:tmpl w:val="6A5C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7003"/>
    <w:multiLevelType w:val="hybridMultilevel"/>
    <w:tmpl w:val="ECDE9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35EC"/>
    <w:multiLevelType w:val="hybridMultilevel"/>
    <w:tmpl w:val="B52A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2E2E"/>
    <w:multiLevelType w:val="hybridMultilevel"/>
    <w:tmpl w:val="CD80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3EA7"/>
    <w:multiLevelType w:val="multilevel"/>
    <w:tmpl w:val="991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A074C"/>
    <w:multiLevelType w:val="multilevel"/>
    <w:tmpl w:val="5466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8265A"/>
    <w:multiLevelType w:val="hybridMultilevel"/>
    <w:tmpl w:val="19AC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332"/>
    <w:multiLevelType w:val="hybridMultilevel"/>
    <w:tmpl w:val="7524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F0AE8"/>
    <w:multiLevelType w:val="hybridMultilevel"/>
    <w:tmpl w:val="1BC2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F47F1"/>
    <w:multiLevelType w:val="hybridMultilevel"/>
    <w:tmpl w:val="7BF0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22751"/>
    <w:multiLevelType w:val="multilevel"/>
    <w:tmpl w:val="EFC2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A66A2"/>
    <w:multiLevelType w:val="hybridMultilevel"/>
    <w:tmpl w:val="4C3C0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31C94"/>
    <w:multiLevelType w:val="hybridMultilevel"/>
    <w:tmpl w:val="232E1BC4"/>
    <w:lvl w:ilvl="0" w:tplc="B93A8B9A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18F"/>
    <w:multiLevelType w:val="hybridMultilevel"/>
    <w:tmpl w:val="79A8A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12F60"/>
    <w:multiLevelType w:val="hybridMultilevel"/>
    <w:tmpl w:val="68AE7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70212"/>
    <w:multiLevelType w:val="hybridMultilevel"/>
    <w:tmpl w:val="1F84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05FAD"/>
    <w:multiLevelType w:val="hybridMultilevel"/>
    <w:tmpl w:val="5892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4"/>
  </w:num>
  <w:num w:numId="5">
    <w:abstractNumId w:val="1"/>
  </w:num>
  <w:num w:numId="6">
    <w:abstractNumId w:val="0"/>
  </w:num>
  <w:num w:numId="7">
    <w:abstractNumId w:val="2"/>
  </w:num>
  <w:num w:numId="8">
    <w:abstractNumId w:val="17"/>
  </w:num>
  <w:num w:numId="9">
    <w:abstractNumId w:val="9"/>
  </w:num>
  <w:num w:numId="10">
    <w:abstractNumId w:val="15"/>
  </w:num>
  <w:num w:numId="11">
    <w:abstractNumId w:val="8"/>
  </w:num>
  <w:num w:numId="12">
    <w:abstractNumId w:val="3"/>
  </w:num>
  <w:num w:numId="13">
    <w:abstractNumId w:val="7"/>
  </w:num>
  <w:num w:numId="14">
    <w:abstractNumId w:val="10"/>
  </w:num>
  <w:num w:numId="15">
    <w:abstractNumId w:val="16"/>
  </w:num>
  <w:num w:numId="16">
    <w:abstractNumId w:val="4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DF"/>
    <w:rsid w:val="00066355"/>
    <w:rsid w:val="00141BEA"/>
    <w:rsid w:val="001B1AFE"/>
    <w:rsid w:val="0024793C"/>
    <w:rsid w:val="00252D70"/>
    <w:rsid w:val="003918D4"/>
    <w:rsid w:val="00512535"/>
    <w:rsid w:val="005676B6"/>
    <w:rsid w:val="005C490C"/>
    <w:rsid w:val="00696ACC"/>
    <w:rsid w:val="006B7926"/>
    <w:rsid w:val="007269C2"/>
    <w:rsid w:val="007544A7"/>
    <w:rsid w:val="007E399C"/>
    <w:rsid w:val="00817ADF"/>
    <w:rsid w:val="0088783C"/>
    <w:rsid w:val="00976887"/>
    <w:rsid w:val="00A26CAC"/>
    <w:rsid w:val="00B03867"/>
    <w:rsid w:val="00C21D9D"/>
    <w:rsid w:val="00CE2041"/>
    <w:rsid w:val="00D116C1"/>
    <w:rsid w:val="00D26E97"/>
    <w:rsid w:val="00D31BB6"/>
    <w:rsid w:val="00EB255F"/>
    <w:rsid w:val="00EF15B3"/>
    <w:rsid w:val="00F660E3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E11CB-E5FE-45E0-83EA-B33A32C3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6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6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6C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lementor-button-text">
    <w:name w:val="elementor-button-text"/>
    <w:basedOn w:val="DefaultParagraphFont"/>
    <w:rsid w:val="00A26CAC"/>
  </w:style>
  <w:style w:type="paragraph" w:styleId="NormalWeb">
    <w:name w:val="Normal (Web)"/>
    <w:basedOn w:val="Normal"/>
    <w:uiPriority w:val="99"/>
    <w:semiHidden/>
    <w:unhideWhenUsed/>
    <w:rsid w:val="00A2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B1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B3"/>
  </w:style>
  <w:style w:type="paragraph" w:styleId="Footer">
    <w:name w:val="footer"/>
    <w:basedOn w:val="Normal"/>
    <w:link w:val="FooterChar"/>
    <w:uiPriority w:val="99"/>
    <w:unhideWhenUsed/>
    <w:rsid w:val="00EF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1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2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2024-04-01T16:48:00Z</dcterms:created>
  <dcterms:modified xsi:type="dcterms:W3CDTF">2024-04-03T14:42:00Z</dcterms:modified>
</cp:coreProperties>
</file>